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KOOPERATIONS UND VERTRIEBSVEREINBARUNG</w:t>
      </w:r>
    </w:p>
    <w:p>
      <w:pPr>
        <w:jc w:val="center"/>
      </w:pPr>
      <w:r>
        <w:rPr>
          <w:b/>
          <w:sz w:val="32"/>
        </w:rPr>
        <w:t>COOPERATION AND SALES AGREEMENT</w:t>
      </w:r>
    </w:p>
    <w:p>
      <w:pPr>
        <w:jc w:val="center"/>
      </w:pPr>
      <w:r>
        <w:rPr>
          <w:i/>
          <w:sz w:val="21"/>
        </w:rPr>
        <w:t>Blankovorlage für internationale Immobilien und Projektpartner</w:t>
        <w:br/>
        <w:t>Blank template for international real estate and project partners</w:t>
      </w:r>
    </w:p>
    <w:p>
      <w:pPr>
        <w:jc w:val="center"/>
      </w:pPr>
      <w:r>
        <w:rPr>
          <w:b/>
          <w:color w:val="804000"/>
          <w:sz w:val="20"/>
        </w:rPr>
        <w:t>ARBEITSENTWURF NICHT UNTERZEICHNUNGSREIF</w:t>
        <w:br/>
        <w:t>WORKING DRAFT NOT READY FOR SIGNATURE</w:t>
      </w:r>
    </w:p>
    <w:p>
      <w:r>
        <w:rPr>
          <w:b/>
        </w:rPr>
        <w:t xml:space="preserve">Hinweis: </w:t>
      </w:r>
      <w:r>
        <w:t>Offene Vertragsdaten und kommerzielle Konditionen sind gelb markiert. Vor Unterzeichnung ist eine rechtliche und steuerliche Prüfung in den betroffenen Rechtsordnungen erforderlich.</w:t>
        <w:br/>
      </w:r>
      <w:r>
        <w:rPr>
          <w:b/>
        </w:rPr>
        <w:t xml:space="preserve">Notice: </w:t>
      </w:r>
      <w:r>
        <w:t>Open party details and commercial terms are highlighted in yellow. Legal and tax review in the relevant jurisdictions is required before signature.</w:t>
      </w:r>
    </w:p>
    <w:p>
      <w:pPr>
        <w:pStyle w:val="Heading1"/>
      </w:pPr>
      <w:r>
        <w:t>Parteien und Vertragsdaten</w:t>
      </w:r>
    </w:p>
    <w:tbl>
      <w:tblPr>
        <w:tblW w:type="auto" w:w="0"/>
        <w:jc w:val="center"/>
        <w:tblLayout w:type="fixed"/>
        <w:tblLook w:firstColumn="1" w:firstRow="1" w:lastColumn="0" w:lastRow="0" w:noHBand="0" w:noVBand="1" w:val="04A0"/>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Pr>
      <w:tblGrid>
        <w:gridCol w:w="4824"/>
        <w:gridCol w:w="4824"/>
      </w:tblGrid>
      <w:tr>
        <w:tc>
          <w:tcPr>
            <w:tcW w:type="dxa" w:w="4997"/>
            <w:shd w:fill="404040"/>
            <w:vAlign w:val="center"/>
            <w:tcMar>
              <w:top w:w="100" w:type="dxa"/>
              <w:start w:w="120" w:type="dxa"/>
              <w:bottom w:w="100" w:type="dxa"/>
              <w:end w:w="120" w:type="dxa"/>
            </w:tcMar>
          </w:tcPr>
          <w:p>
            <w:pPr>
              <w:spacing w:after="40"/>
            </w:pPr>
            <w:r>
              <w:rPr>
                <w:rFonts w:ascii="Aptos" w:hAnsi="Aptos"/>
                <w:b/>
                <w:color w:val="FFFFFF"/>
                <w:sz w:val="19"/>
              </w:rPr>
              <w:t>VERTRIEBSPARTNER</w:t>
              <w:br/>
              <w:t>SALES PARTNER</w:t>
            </w:r>
          </w:p>
        </w:tc>
        <w:tc>
          <w:tcPr>
            <w:tcW w:type="dxa" w:w="4997"/>
            <w:shd w:fill="404040"/>
            <w:vAlign w:val="center"/>
            <w:tcMar>
              <w:top w:w="100" w:type="dxa"/>
              <w:start w:w="120" w:type="dxa"/>
              <w:bottom w:w="100" w:type="dxa"/>
              <w:end w:w="120" w:type="dxa"/>
            </w:tcMar>
          </w:tcPr>
          <w:p>
            <w:pPr>
              <w:spacing w:after="40"/>
            </w:pPr>
            <w:r>
              <w:rPr>
                <w:rFonts w:ascii="Aptos" w:hAnsi="Aptos"/>
                <w:b/>
                <w:color w:val="FFFFFF"/>
                <w:sz w:val="19"/>
              </w:rPr>
              <w:t>PROJEKT ODER KOOPERATIONSPARTNER</w:t>
              <w:br/>
              <w:t>PROJECT OR COOPERATION PARTNER</w:t>
            </w:r>
          </w:p>
        </w:tc>
      </w:tr>
      <w:tr>
        <w:tc>
          <w:tcPr>
            <w:tcW w:type="dxa" w:w="4997"/>
            <w:tcMar>
              <w:top w:w="100" w:type="dxa"/>
              <w:start w:w="120" w:type="dxa"/>
              <w:bottom w:w="100" w:type="dxa"/>
              <w:end w:w="120" w:type="dxa"/>
            </w:tcMar>
            <w:vAlign w:val="center"/>
          </w:tcPr>
          <w:p>
            <w:pPr>
              <w:spacing w:after="40"/>
            </w:pPr>
            <w:r>
              <w:rPr>
                <w:rFonts w:ascii="Aptos" w:hAnsi="Aptos"/>
                <w:sz w:val="19"/>
              </w:rPr>
              <w:t>Beyond Europe Property LLC</w:t>
              <w:br/>
              <w:t>Wyoming, United States of America</w:t>
              <w:br/>
              <w:t>represented by / vertreten durch: Torsten Schmitz</w:t>
              <w:br/>
              <w:t>Company registration no.: [TO BE COMPLETED]</w:t>
              <w:br/>
              <w:t>Business address: [TO BE COMPLETED]</w:t>
              <w:br/>
              <w:t>Email: partners@beyondeuropeproperty.com</w:t>
              <w:br/>
              <w:t>("BEP")</w:t>
            </w:r>
          </w:p>
        </w:tc>
        <w:tc>
          <w:tcPr>
            <w:tcW w:type="dxa" w:w="4997"/>
            <w:shd w:fill="FFF2CC"/>
            <w:tcMar>
              <w:top w:w="100" w:type="dxa"/>
              <w:start w:w="120" w:type="dxa"/>
              <w:bottom w:w="100" w:type="dxa"/>
              <w:end w:w="120" w:type="dxa"/>
            </w:tcMar>
            <w:vAlign w:val="center"/>
          </w:tcPr>
          <w:p>
            <w:pPr>
              <w:spacing w:after="40"/>
            </w:pPr>
            <w:r>
              <w:rPr>
                <w:rFonts w:ascii="Aptos" w:hAnsi="Aptos"/>
                <w:sz w:val="19"/>
              </w:rPr>
              <w:t>[PARTNER COMPANY / PARTNERFIRMA]</w:t>
              <w:br/>
              <w:t>[LEGAL FORM AND REGISTRATION NUMBER]</w:t>
              <w:br/>
              <w:t>[REGISTERED ADDRESS]</w:t>
              <w:br/>
              <w:t>represented by / vertreten durch: [NAME AND TITLE]</w:t>
              <w:br/>
              <w:t>Email: [EMAIL]</w:t>
              <w:br/>
              <w:t>("Partner")</w:t>
            </w:r>
          </w:p>
        </w:tc>
      </w:tr>
    </w:tbl>
    <w:p>
      <w:r>
        <w:rPr>
          <w:b/>
        </w:rPr>
        <w:t xml:space="preserve">Vertragsdatum / Effective date: </w:t>
      </w:r>
      <w:r>
        <w:rPr>
          <w:highlight w:val="yellow"/>
        </w:rPr>
        <w:t>[TT.MM.JJJJ / DD.MM.YYYY]</w:t>
      </w:r>
    </w:p>
    <w:p>
      <w:r>
        <w:t>BEP und der Partner werden gemeinsam als Parteien und jeweils als Partei bezeichnet. / BEP and the Partner are jointly referred to as the Parties and individually as a Party.</w:t>
      </w:r>
    </w:p>
    <w:p>
      <w:pPr>
        <w:pStyle w:val="Heading1"/>
        <w:keepNext/>
      </w:pPr>
      <w:r>
        <w:t>1 Gegenstand und Projekte</w:t>
      </w:r>
    </w:p>
    <w:p>
      <w:pPr>
        <w:spacing w:after="120"/>
      </w:pPr>
      <w:r>
        <w:t>Der Partner entwickelt, hält, vertritt oder vermarktet die in Anlage 1 bezeichneten Immobilienprojekte oder Objekte im Land beziehungsweise in der Region [LAND / REGION] (zusammen die Projekte). Der Partner beauftragt BEP als nicht exklusiven Marketing-, Lead-, Empfehlungs- und Vertriebskooperationspartner für Deutschland, Österreich und die Schweiz (DACH). Eine Exklusivität entsteht nur durch einen gesonderten, von beiden Parteien unterzeichneten Nachtrag.</w:t>
      </w:r>
    </w:p>
    <w:p>
      <w:pPr>
        <w:pStyle w:val="Heading2"/>
        <w:keepNext/>
      </w:pPr>
      <w:r>
        <w:t>1 Purpose and Projects</w:t>
      </w:r>
    </w:p>
    <w:p>
      <w:pPr>
        <w:spacing w:after="240"/>
      </w:pPr>
      <w:r>
        <w:t>The Partner develops, owns, represents or markets the real estate projects or properties identified in Schedule 1 in [COUNTRY / REGION] (together, the Projects). The Partner appoints BEP as a non-exclusive marketing, lead-generation, referral and sales cooperation partner for Germany, Austria and Switzerland (DACH). Exclusivity shall arise only under a separate addendum signed by both Parties.</w:t>
      </w:r>
    </w:p>
    <w:p>
      <w:pPr>
        <w:pStyle w:val="Heading1"/>
        <w:keepNext/>
      </w:pPr>
      <w:r>
        <w:t>2 Leistungen von BEP</w:t>
      </w:r>
    </w:p>
    <w:p>
      <w:pPr>
        <w:spacing w:after="120"/>
      </w:pPr>
      <w:r>
        <w:t>BEP darf die Projekte im DACH-Markt vorstellen, deutsch- und englischsprachige Inhalte erstellen, ausgewählte Immobilienportale und die BEP-Webseite nutzen, Anfragen qualifizieren, Interessenten beim Partner registrieren, Besprechungen koordinieren und den Vertriebsprozess begleiten. BEP darf zur Marktbearbeitung seine deutsche Kooperationspartnerin Deine Stadt GmbH, Düren, sowie nach vorheriger schriftlicher Zustimmung weitere geeignete Unterpartner einsetzen. BEP bleibt gegenüber dem Partner für die vertragsgemäße Tätigkeit seiner Unterpartner verantwortlich.</w:t>
      </w:r>
    </w:p>
    <w:p>
      <w:pPr>
        <w:pStyle w:val="Heading2"/>
        <w:keepNext/>
      </w:pPr>
      <w:r>
        <w:t>2 Services of BEP</w:t>
      </w:r>
    </w:p>
    <w:p>
      <w:pPr>
        <w:spacing w:after="240"/>
      </w:pPr>
      <w:r>
        <w:t>BEP may present the Projects in the DACH market, prepare German- and English-language content, use selected property portals and the BEP website, qualify enquiries, register prospects with the Partner, coordinate meetings and support the sales process. For market coverage, BEP may use its German cooperation partner Deine Stadt GmbH, Düren, and, with the Partner's prior written consent, other suitable sub-partners. BEP remains responsible to the Partner for its sub-partners' compliance with this Agreement.</w:t>
      </w:r>
    </w:p>
    <w:p>
      <w:pPr>
        <w:pStyle w:val="Heading1"/>
        <w:keepNext/>
      </w:pPr>
      <w:r>
        <w:t>3 Leistungen des Partners</w:t>
      </w:r>
    </w:p>
    <w:p>
      <w:pPr>
        <w:spacing w:after="120"/>
      </w:pPr>
      <w:r>
        <w:t>Der Partner stellt BEP rechtzeitig vollständige, richtige und aktuelle Verkaufsunterlagen zur Verfügung. Dazu gehören insbesondere Verfügbarkeiten, Preise, Flächen, Pläne, Ausstattungsbeschreibungen, Zahlungs- und Bauzeitenpläne, Kaufvertragsmuster, Eigentums-, Vertretungs- und Genehmigungsnachweise sowie Angaben zu laufenden Kosten, Garantien und Übergabe. Der Partner informiert BEP spätestens innerhalb von zwei Geschäftstagen über Änderungen, Reservierungen oder Verkäufe. Der Partner ist allein verantwortlich für Projektentwicklung, Bau, Genehmigungen, Kaufvertrag, Zahlungsabwicklung, Übergabe und alle objektbezogenen Zusagen.</w:t>
      </w:r>
    </w:p>
    <w:p>
      <w:pPr>
        <w:pStyle w:val="Heading2"/>
        <w:keepNext/>
      </w:pPr>
      <w:r>
        <w:t>3 Services of the Partner</w:t>
      </w:r>
    </w:p>
    <w:p>
      <w:pPr>
        <w:spacing w:after="240"/>
      </w:pPr>
      <w:r>
        <w:t>The Partner shall provide BEP in a timely manner with complete, accurate and current sales materials, including availability, prices, areas, plans, specifications, payment and construction schedules, draft purchase agreements, evidence of title, authority and permits, ongoing costs, warranties and handover information. The Partner shall notify BEP of changes, reservations or sales no later than two business days after becoming aware of them. The Partner remains solely responsible for project development, construction, permits, the purchase agreement, payment processing, handover and all property-specific representations.</w:t>
      </w:r>
    </w:p>
    <w:p>
      <w:pPr>
        <w:pStyle w:val="Heading1"/>
        <w:keepNext/>
      </w:pPr>
      <w:r>
        <w:t>4 Nutzungsrechte an Medien und Inhalten</w:t>
      </w:r>
    </w:p>
    <w:p>
      <w:pPr>
        <w:spacing w:after="120"/>
      </w:pPr>
      <w:r>
        <w:t>Der Partner gewährt BEP für die Vertragsdauer ein nicht ausschließliches, gebührenfreies und widerrufliches Nutzungsrecht an den vom Partner freigegebenen Fotos, Videos, Renderings, Logos, Plänen, Broschüren, Texten, Preisen und Projektdaten. Das Recht umfasst Bearbeitung, Formatierung, Übersetzung und Veröffentlichung im DACH-Markt über BEP-Webseiten, Immobilienportale, soziale Medien, E-Mail, Präsentationen und Druckunterlagen. Der Partner sichert zu, hierzu berechtigt zu sein und stellt BEP von berechtigten Ansprüchen Dritter frei. Nach Vertragsende entfernt BEP die Materialien innerhalb einer angemessenen Frist, soweit keine Nachlauf- oder Dokumentationspflicht besteht.</w:t>
      </w:r>
    </w:p>
    <w:p>
      <w:pPr>
        <w:pStyle w:val="Heading2"/>
        <w:keepNext/>
      </w:pPr>
      <w:r>
        <w:t>4 Licence to Media and Content</w:t>
      </w:r>
    </w:p>
    <w:p>
      <w:pPr>
        <w:spacing w:after="240"/>
      </w:pPr>
      <w:r>
        <w:t>For the term of this Agreement, the Partner grants BEP a non-exclusive, royalty-free and revocable licence to use Partner-approved photographs, videos, renderings, logos, plans, brochures, texts, prices and project data. The licence includes editing, formatting, translation and publication in the DACH market through BEP websites, property portals, social media, email, presentations and print materials. The Partner warrants that it has the required rights and shall indemnify BEP against valid third-party claims. Following termination, BEP shall remove the materials within a reasonable period unless retention is required for protected leads or record-keeping.</w:t>
      </w:r>
    </w:p>
    <w:p>
      <w:pPr>
        <w:pStyle w:val="Heading1"/>
        <w:keepNext/>
      </w:pPr>
      <w:r>
        <w:t>5 Leads Registrierung und Schutzfrist</w:t>
      </w:r>
    </w:p>
    <w:p>
      <w:pPr>
        <w:spacing w:after="120"/>
      </w:pPr>
      <w:r>
        <w:t>BEP registriert einen Interessenten per E-Mail, CRM-Auszug oder einem von den Parteien vereinbarten Portal unter Angabe von Name und mindestens einer Kontaktmöglichkeit. Der Partner bestätigt oder beanstandet die Registrierung innerhalb von zwei Geschäftstagen. Ohne fristgerechten, nachweisbaren Einwand gilt der Lead als akzeptiert. Ein akzeptierter Lead ist für [12] Monate ab Registrierung geschützt; bei dokumentierten laufenden Verhandlungen verlängert sich die Frist bis zum Abschluss oder endgültigen Abbruch. Bereits nachweislich vorregistrierte Bestandskontakte des Partners sind ausgenommen.</w:t>
      </w:r>
    </w:p>
    <w:p>
      <w:pPr>
        <w:pStyle w:val="Heading2"/>
        <w:keepNext/>
      </w:pPr>
      <w:r>
        <w:t>5 Leads Registration and Protection Period</w:t>
      </w:r>
    </w:p>
    <w:p>
      <w:pPr>
        <w:spacing w:after="240"/>
      </w:pPr>
      <w:r>
        <w:t>BEP shall register a prospect by email, CRM extract or an agreed portal, stating the prospect's name and at least one contact method. The Partner shall confirm or object to the registration within two business days. If no timely, substantiated objection is made, the lead shall be deemed accepted. An accepted lead is protected for [12] months from registration; where documented negotiations are continuing, protection extends until completion or final termination of discussions. Prospects demonstrably registered with the Partner beforehand are excluded.</w:t>
      </w:r>
    </w:p>
    <w:p>
      <w:pPr>
        <w:pStyle w:val="Heading1"/>
        <w:keepNext/>
      </w:pPr>
      <w:r>
        <w:t>6 Nichtumgehung</w:t>
      </w:r>
    </w:p>
    <w:p>
      <w:pPr>
        <w:spacing w:after="120"/>
      </w:pPr>
      <w:r>
        <w:t>Der Partner darf BEP, Deine Stadt GmbH oder einen von BEP registrierten Lead nicht umgehen. Dies gilt auch für Verkäufe an verbundene Personen oder Gesellschaften des Leads sowie für den Erwerb einer anderen Einheit oder eines späteren Projekts des Partners, sofern der Abschluss kausal auf die Einführung durch BEP zurückgeht. Der Partner informiert BEP unverzüglich über Reservierung, Vertragsabschluss, Zahlungseingang, Rücktritt oder Stornierung eines geschützten Leads.</w:t>
      </w:r>
    </w:p>
    <w:p>
      <w:pPr>
        <w:pStyle w:val="Heading2"/>
        <w:keepNext/>
      </w:pPr>
      <w:r>
        <w:t>6 Non Circumvention</w:t>
      </w:r>
    </w:p>
    <w:p>
      <w:pPr>
        <w:spacing w:after="240"/>
      </w:pPr>
      <w:r>
        <w:t>The Partner shall not circumvent BEP, Deine Stadt GmbH or any lead registered by BEP. This also applies to sales to persons or entities affiliated with the lead and to the acquisition of another unit or later project of the Partner where the transaction results from BEP's introduction. The Partner shall promptly inform BEP of any reservation, contract, payment, withdrawal or cancellation involving a protected lead.</w:t>
      </w:r>
    </w:p>
    <w:p>
      <w:pPr>
        <w:pStyle w:val="Heading1"/>
        <w:keepNext/>
      </w:pPr>
      <w:r>
        <w:t>7 Vergütung und Fälligkeit</w:t>
      </w:r>
    </w:p>
    <w:p>
      <w:pPr>
        <w:spacing w:after="120"/>
      </w:pPr>
      <w:r>
        <w:t>Für jeden Verkauf an einen geschützten Lead zahlt der Partner an BEP eine Provision in Höhe von [___ %] des [Netto- oder Brutto-]Kaufpreises oder [________ EUR/USD] je Einheit beziehungsweise die in Anlage 1 vereinbarte Vergütung. Die Provision entsteht mit Unterzeichnung des verbindlichen Kaufvertrags und wird anteilig entsprechend den unwiderruflich beim Partner eingegangenen Käuferzahlungen fällig, spätestens jedoch vollständig bei Übergang des Eigentums beziehungsweise des vertraglich vereinbarten Erwerbsrechts. Zahlungen erfolgen innerhalb von [___] Geschäftstagen nach Fälligkeit gegen Rechnung. Steuern und Bankkosten werden nach anwendbarem Recht behandelt. Eine abweichende Staffel oder Projektprämie bedarf eines schriftlichen Nachtrags.</w:t>
      </w:r>
    </w:p>
    <w:p>
      <w:pPr>
        <w:pStyle w:val="Heading2"/>
        <w:keepNext/>
      </w:pPr>
      <w:r>
        <w:t>7 Commission and Payment</w:t>
      </w:r>
    </w:p>
    <w:p>
      <w:pPr>
        <w:spacing w:after="240"/>
      </w:pPr>
      <w:r>
        <w:t>For each sale to a protected lead, the Partner shall pay BEP a commission of [___%] of the [net or gross] purchase price or [EUR/USD ________] per unit, or the remuneration agreed in Schedule 1. The commission is earned upon execution of the binding purchase agreement and becomes payable pro rata as irrevocable purchaser funds are received by the Partner, but no later than in full upon transfer of title or the contractually agreed acquisition right. Payment shall be made within [___] business days after becoming due against invoice. Taxes and bank charges shall be treated in accordance with applicable law. Any tiered commission or project bonus requires a written addendum.</w:t>
      </w:r>
    </w:p>
    <w:p>
      <w:pPr>
        <w:pStyle w:val="Heading1"/>
        <w:keepNext/>
      </w:pPr>
      <w:r>
        <w:t>8 Käuferkommunikation und Haftung</w:t>
      </w:r>
    </w:p>
    <w:p>
      <w:pPr>
        <w:spacing w:after="120"/>
      </w:pPr>
      <w:r>
        <w:t>BEP darf nur freigegebene und aktuelle Informationen verwenden und kennzeichnet Prognosen, Fahrzeiten, Renditen, Fertigstellungstermine und sonstige zukunftsbezogene Angaben als unverbindlich. BEP erbringt ohne gesonderten Auftrag keine Rechts-, Steuer-, Finanz- oder Anlageberatung und darf den Partner nicht rechtsverbindlich vertreten. Der Partner haftet für die Richtigkeit seiner Unterlagen und projektbezogenen Aussagen. Jede Partei haftet für Vorsatz und grobe Fahrlässigkeit; weitergehende Haftung richtet sich nach zwingendem Recht.</w:t>
      </w:r>
    </w:p>
    <w:p>
      <w:pPr>
        <w:pStyle w:val="Heading2"/>
        <w:keepNext/>
      </w:pPr>
      <w:r>
        <w:t>8 Purchaser Communications and Liability</w:t>
      </w:r>
    </w:p>
    <w:p>
      <w:pPr>
        <w:spacing w:after="240"/>
      </w:pPr>
      <w:r>
        <w:t>BEP shall use only approved and current information and shall identify forecasts, travel times, returns, completion dates and other forward-looking statements as non-binding. Unless separately engaged, BEP does not provide legal, tax, financial or investment advice and may not legally bind the Partner. The Partner is responsible for the accuracy of its materials and project-related representations. Each Party remains liable for wilful misconduct and gross negligence; any further liability is governed by mandatory law.</w:t>
      </w:r>
    </w:p>
    <w:p>
      <w:pPr>
        <w:pStyle w:val="Heading1"/>
        <w:keepNext/>
      </w:pPr>
      <w:r>
        <w:t>9 Datenschutz und Vertraulichkeit</w:t>
      </w:r>
    </w:p>
    <w:p>
      <w:pPr>
        <w:spacing w:after="120"/>
      </w:pPr>
      <w:r>
        <w:t>Die Parteien verarbeiten personenbezogene Daten nur für Anbahnung und Abwicklung der Zusammenarbeit und beachten die jeweils anwendbaren Datenschutzgesetze einschließlich der DSGVO, soweit diese anwendbar ist. Kontaktdaten werden nur mit geeigneter Rechtsgrundlage übermittelt und angemessen geschützt. Nicht öffentliche kaufmännische, technische, rechtliche und kundenbezogene Informationen sind vertraulich zu behandeln. Die Vertraulichkeitspflicht gilt drei Jahre über das Vertragsende hinaus; Geschäftsgeheimnisse bleiben geschützt, solange sie Geschäftsgeheimnisse sind.</w:t>
      </w:r>
    </w:p>
    <w:p>
      <w:pPr>
        <w:pStyle w:val="Heading2"/>
        <w:keepNext/>
      </w:pPr>
      <w:r>
        <w:t>9 Data Protection and Confidentiality</w:t>
      </w:r>
    </w:p>
    <w:p>
      <w:pPr>
        <w:spacing w:after="240"/>
      </w:pPr>
      <w:r>
        <w:t>The Parties shall process personal data only for initiating and performing the cooperation and shall comply with applicable data-protection laws, including the GDPR where applicable. Contact details shall be transferred only on an appropriate legal basis and protected by suitable safeguards. Non-public commercial, technical, legal and customer information shall be kept confidential. Confidentiality obligations survive for three years after termination; trade secrets remain protected for as long as they qualify as trade secrets.</w:t>
      </w:r>
    </w:p>
    <w:p>
      <w:pPr>
        <w:pStyle w:val="Heading1"/>
        <w:keepNext/>
      </w:pPr>
      <w:r>
        <w:t>10 Compliance</w:t>
      </w:r>
    </w:p>
    <w:p>
      <w:pPr>
        <w:spacing w:after="120"/>
      </w:pPr>
      <w:r>
        <w:t>Jede Partei beachtet die für sie geltenden Vorschriften zu Geldwäscheprävention, Sanktionen, Korruptionsbekämpfung, Werbung und Verbraucherschutz. Der Partner führt die gesetzlich erforderliche Identitäts- und Mittelherkunftsprüfung der Käufer durch. Keine Partei ist verpflichtet, eine Transaktion fortzuführen, wenn angemessene Compliance-Bedenken nicht geklärt werden können.</w:t>
      </w:r>
    </w:p>
    <w:p>
      <w:pPr>
        <w:pStyle w:val="Heading2"/>
        <w:keepNext/>
      </w:pPr>
      <w:r>
        <w:t>10 Compliance</w:t>
      </w:r>
    </w:p>
    <w:p>
      <w:pPr>
        <w:spacing w:after="240"/>
      </w:pPr>
      <w:r>
        <w:t>Each Party shall comply with the laws applicable to it concerning anti-money laundering, sanctions, anti-corruption, advertising and consumer protection. The Partner shall conduct any legally required customer identity and source-of-funds checks. Neither Party is required to proceed with a transaction where reasonable compliance concerns cannot be resolved.</w:t>
      </w:r>
    </w:p>
    <w:p>
      <w:pPr>
        <w:pStyle w:val="Heading1"/>
        <w:keepNext/>
      </w:pPr>
      <w:r>
        <w:t>11 Laufzeit und Beendigung</w:t>
      </w:r>
    </w:p>
    <w:p>
      <w:pPr>
        <w:spacing w:after="120"/>
      </w:pPr>
      <w:r>
        <w:t>Die Vereinbarung beginnt am Vertragsdatum und läuft zunächst [12] Monate. Sie verlängert sich jeweils um weitere [12] Monate, sofern sie nicht mit [30] Tagen Frist schriftlich gekündigt wird. Das Recht zur fristlosen Kündigung aus wichtigem Grund bleibt unberührt. Leadschutz, Vergütungsansprüche, Nichtumgehung, Vertraulichkeit und bereits entstandene Zahlungsansprüche gelten nach Vertragsende für die jeweils vereinbarte Dauer fort.</w:t>
      </w:r>
    </w:p>
    <w:p>
      <w:pPr>
        <w:pStyle w:val="Heading2"/>
        <w:keepNext/>
      </w:pPr>
      <w:r>
        <w:t>11 Term and Termination</w:t>
      </w:r>
    </w:p>
    <w:p>
      <w:pPr>
        <w:spacing w:after="240"/>
      </w:pPr>
      <w:r>
        <w:t>This Agreement begins on the Effective Date and continues for an initial [12] months. It renews for successive [12]-month periods unless terminated in writing on [30] days' notice. Either Party may terminate immediately for material cause. Lead protection, commission rights, non-circumvention, confidentiality and accrued payment rights survive termination for their agreed periods.</w:t>
      </w:r>
    </w:p>
    <w:p>
      <w:pPr>
        <w:pStyle w:val="Heading1"/>
        <w:keepNext/>
      </w:pPr>
      <w:r>
        <w:t>12 Anwendbares Recht und Streitbeilegung</w:t>
      </w:r>
    </w:p>
    <w:p>
      <w:pPr>
        <w:spacing w:after="120"/>
      </w:pPr>
      <w:r>
        <w:t>Die Parteien bemühen sich zunächst, Streitigkeiten innerhalb von 30 Tagen durch Verhandlungen ihrer Geschäftsleitungen beizulegen. Soweit keine Einigung erzielt wird, gilt [VEREINBARTES RECHT]. Ausschließlicher Gerichtsstand ist [VEREINBARTER GERICHTSSTAND]. Diese Regelung ist vor Unterzeichnung rechtlich zu prüfen und zu vervollständigen.</w:t>
      </w:r>
    </w:p>
    <w:p>
      <w:pPr>
        <w:pStyle w:val="Heading2"/>
        <w:keepNext/>
      </w:pPr>
      <w:r>
        <w:t>12 Governing Law and Dispute Resolution</w:t>
      </w:r>
    </w:p>
    <w:p>
      <w:pPr>
        <w:spacing w:after="240"/>
      </w:pPr>
      <w:r>
        <w:t>The Parties shall first attempt to resolve disputes through good-faith negotiations between their management teams within 30 days. If no settlement is reached, this Agreement shall be governed by [AGREED GOVERNING LAW]. The courts of [AGREED VENUE] shall have exclusive jurisdiction. This provision must be legally reviewed and completed before signature.</w:t>
      </w:r>
    </w:p>
    <w:p>
      <w:pPr>
        <w:pStyle w:val="Heading1"/>
        <w:keepNext/>
      </w:pPr>
      <w:r>
        <w:t>13 Schlussbestimmungen und Sprache</w:t>
      </w:r>
    </w:p>
    <w:p>
      <w:pPr>
        <w:spacing w:after="120"/>
      </w:pPr>
      <w:r>
        <w:t>Änderungen und Ergänzungen bedürfen der Textform, soweit zwingendes Recht keine strengere Form verlangt. Rechte und Pflichten dürfen nur mit vorheriger schriftlicher Zustimmung der anderen Partei übertragen werden; der Einsatz der Deine Stadt GmbH nach Ziffer 2 bleibt zulässig. Sollte eine Bestimmung unwirksam sein, bleibt die Vereinbarung im Übrigen wirksam. Die deutsche und englische Fassung bilden gemeinsam die Vereinbarung. Bei Widersprüchen ist die [DEUTSCHE / ENGLISCHE] Fassung maßgeblich. Elektronische Signaturen und unterzeichnete PDF-Gegenstücke sind zulässig.</w:t>
      </w:r>
    </w:p>
    <w:p>
      <w:pPr>
        <w:pStyle w:val="Heading2"/>
        <w:keepNext/>
      </w:pPr>
      <w:r>
        <w:t>13 Final Provisions and Language</w:t>
      </w:r>
    </w:p>
    <w:p>
      <w:pPr>
        <w:spacing w:after="240"/>
      </w:pPr>
      <w:r>
        <w:t>Amendments and supplements must be made in text form unless mandatory law requires a stricter form. Rights and obligations may be assigned only with the other Party's prior written consent; the use of Deine Stadt GmbH under Clause 2 remains permitted. If a provision is invalid, the remainder of the Agreement remains effective. The German and English texts together constitute the Agreement. In the event of conflict, the [GERMAN / ENGLISH] text prevails. Electronic signatures and signed PDF counterparts are permitted.</w:t>
      </w:r>
    </w:p>
    <w:p>
      <w:pPr>
        <w:pStyle w:val="Heading1"/>
      </w:pPr>
      <w:r>
        <w:t>Anlage 1 Projekt und Vertriebskonditionen</w:t>
      </w:r>
    </w:p>
    <w:p>
      <w:pPr>
        <w:pStyle w:val="Heading2"/>
      </w:pPr>
      <w:r>
        <w:t>Schedule 1 Project and Commercial Terms</w:t>
      </w:r>
    </w:p>
    <w:tbl>
      <w:tblPr>
        <w:tblW w:type="auto" w:w="0"/>
        <w:jc w:val="center"/>
        <w:tblLayout w:type="fixed"/>
        <w:tblLook w:firstColumn="1" w:firstRow="1" w:lastColumn="0" w:lastRow="0" w:noHBand="0" w:noVBand="1" w:val="04A0"/>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Pr>
      <w:tblGrid>
        <w:gridCol w:w="3600"/>
        <w:gridCol w:w="6048"/>
      </w:tblGrid>
      <w:tr>
        <w:trPr>
          <w:tblHeader w:val="true"/>
          <w:cantSplit w:val="true"/>
        </w:trPr>
        <w:tc>
          <w:tcPr>
            <w:tcW w:type="dxa" w:w="4997"/>
            <w:shd w:fill="404040"/>
            <w:tcMar>
              <w:top w:w="90" w:type="dxa"/>
              <w:start w:w="110" w:type="dxa"/>
              <w:bottom w:w="90" w:type="dxa"/>
              <w:end w:w="110" w:type="dxa"/>
            </w:tcMar>
            <w:vAlign w:val="center"/>
          </w:tcPr>
          <w:p>
            <w:pPr>
              <w:spacing w:after="40"/>
            </w:pPr>
            <w:r>
              <w:rPr>
                <w:rFonts w:ascii="Aptos" w:hAnsi="Aptos"/>
                <w:b/>
                <w:color w:val="FFFFFF"/>
                <w:sz w:val="19"/>
              </w:rPr>
              <w:t>Punkt / Item</w:t>
            </w:r>
          </w:p>
        </w:tc>
        <w:tc>
          <w:tcPr>
            <w:tcW w:type="dxa" w:w="4997"/>
            <w:shd w:fill="404040"/>
            <w:tcMar>
              <w:top w:w="90" w:type="dxa"/>
              <w:start w:w="110" w:type="dxa"/>
              <w:bottom w:w="90" w:type="dxa"/>
              <w:end w:w="110" w:type="dxa"/>
            </w:tcMar>
            <w:vAlign w:val="center"/>
          </w:tcPr>
          <w:p>
            <w:pPr>
              <w:spacing w:after="40"/>
            </w:pPr>
            <w:r>
              <w:rPr>
                <w:rFonts w:ascii="Aptos" w:hAnsi="Aptos"/>
                <w:b/>
                <w:color w:val="FFFFFF"/>
                <w:sz w:val="19"/>
              </w:rPr>
              <w:t>Vereinbarung / Agreed term</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Projekt oder Portfolio / Project or portfolio</w:t>
            </w:r>
          </w:p>
        </w:tc>
        <w:tc>
          <w:tcPr>
            <w:tcW w:type="dxa" w:w="6048"/>
            <w:shd w:fill="FFF2CC"/>
            <w:tcMar>
              <w:top w:w="90" w:type="dxa"/>
              <w:start w:w="110" w:type="dxa"/>
              <w:bottom w:w="90" w:type="dxa"/>
              <w:end w:w="110" w:type="dxa"/>
            </w:tcMar>
            <w:vAlign w:val="center"/>
          </w:tcPr>
          <w:p>
            <w:pPr>
              <w:spacing w:after="40"/>
            </w:pPr>
            <w:r>
              <w:rPr>
                <w:rFonts w:ascii="Aptos" w:hAnsi="Aptos"/>
                <w:sz w:val="19"/>
              </w:rPr>
              <w:t>[TO BE COMPLETED]</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Land und Region / Country and region</w:t>
            </w:r>
          </w:p>
        </w:tc>
        <w:tc>
          <w:tcPr>
            <w:tcW w:type="dxa" w:w="6048"/>
            <w:shd w:fill="FFF2CC"/>
            <w:tcMar>
              <w:top w:w="90" w:type="dxa"/>
              <w:start w:w="110" w:type="dxa"/>
              <w:bottom w:w="90" w:type="dxa"/>
              <w:end w:w="110" w:type="dxa"/>
            </w:tcMar>
            <w:vAlign w:val="center"/>
          </w:tcPr>
          <w:p>
            <w:pPr>
              <w:spacing w:after="40"/>
            </w:pPr>
            <w:r>
              <w:rPr>
                <w:rFonts w:ascii="Aptos" w:hAnsi="Aptos"/>
                <w:sz w:val="19"/>
              </w:rPr>
              <w:t>[TO BE COMPLETED]</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Objekte oder Einheiten / Properties or units</w:t>
            </w:r>
          </w:p>
        </w:tc>
        <w:tc>
          <w:tcPr>
            <w:tcW w:type="dxa" w:w="6048"/>
            <w:shd w:fill="FFF2CC"/>
            <w:tcMar>
              <w:top w:w="90" w:type="dxa"/>
              <w:start w:w="110" w:type="dxa"/>
              <w:bottom w:w="90" w:type="dxa"/>
              <w:end w:w="110" w:type="dxa"/>
            </w:tcMar>
            <w:vAlign w:val="center"/>
          </w:tcPr>
          <w:p>
            <w:pPr>
              <w:spacing w:after="40"/>
            </w:pPr>
            <w:r>
              <w:rPr>
                <w:rFonts w:ascii="Aptos" w:hAnsi="Aptos"/>
                <w:sz w:val="19"/>
              </w:rPr>
              <w:t>[TO BE COMPLETED]</w:t>
            </w:r>
          </w:p>
        </w:tc>
      </w:tr>
      <w:tr>
        <w:trPr>
          <w:cantSplit w:val="true"/>
        </w:trPr>
        <w:tc>
          <w:tcPr>
            <w:tcW w:type="dxa" w:w="3600"/>
            <w:shd w:fill="F7F7F7"/>
            <w:tcMar>
              <w:top w:w="90" w:type="dxa"/>
              <w:start w:w="110" w:type="dxa"/>
              <w:bottom w:w="90" w:type="dxa"/>
              <w:end w:w="110" w:type="dxa"/>
            </w:tcMar>
            <w:vAlign w:val="center"/>
          </w:tcPr>
          <w:p>
            <w:pPr>
              <w:spacing w:after="40"/>
            </w:pPr>
            <w:r>
              <w:rPr>
                <w:rFonts w:ascii="Aptos" w:hAnsi="Aptos"/>
                <w:sz w:val="19"/>
              </w:rPr>
              <w:t>Gebiet / Territory</w:t>
            </w:r>
          </w:p>
        </w:tc>
        <w:tc>
          <w:tcPr>
            <w:tcW w:type="dxa" w:w="6048"/>
            <w:shd w:fill="F7F7F7"/>
            <w:tcMar>
              <w:top w:w="90" w:type="dxa"/>
              <w:start w:w="110" w:type="dxa"/>
              <w:bottom w:w="90" w:type="dxa"/>
              <w:end w:w="110" w:type="dxa"/>
            </w:tcMar>
            <w:vAlign w:val="center"/>
          </w:tcPr>
          <w:p>
            <w:pPr>
              <w:spacing w:after="40"/>
            </w:pPr>
            <w:r>
              <w:rPr>
                <w:rFonts w:ascii="Aptos" w:hAnsi="Aptos"/>
                <w:sz w:val="19"/>
              </w:rPr>
              <w:t>Deutschland, Österreich, Schweiz / Germany, Austria, Switzerland</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Exklusivität / Exclusivity</w:t>
            </w:r>
          </w:p>
        </w:tc>
        <w:tc>
          <w:tcPr>
            <w:tcW w:type="dxa" w:w="6048"/>
            <w:shd w:fill="FFF2CC"/>
            <w:tcMar>
              <w:top w:w="90" w:type="dxa"/>
              <w:start w:w="110" w:type="dxa"/>
              <w:bottom w:w="90" w:type="dxa"/>
              <w:end w:w="110" w:type="dxa"/>
            </w:tcMar>
            <w:vAlign w:val="center"/>
          </w:tcPr>
          <w:p>
            <w:pPr>
              <w:spacing w:after="40"/>
            </w:pPr>
            <w:r>
              <w:rPr>
                <w:rFonts w:ascii="Aptos" w:hAnsi="Aptos"/>
                <w:sz w:val="19"/>
              </w:rPr>
              <w:t>[Nicht exklusiv / Exklusiv nach Nachtrag / Non-exclusive / Exclusive by addendum]</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Provision / Commission</w:t>
            </w:r>
          </w:p>
        </w:tc>
        <w:tc>
          <w:tcPr>
            <w:tcW w:type="dxa" w:w="6048"/>
            <w:shd w:fill="FFF2CC"/>
            <w:tcMar>
              <w:top w:w="90" w:type="dxa"/>
              <w:start w:w="110" w:type="dxa"/>
              <w:bottom w:w="90" w:type="dxa"/>
              <w:end w:w="110" w:type="dxa"/>
            </w:tcMar>
            <w:vAlign w:val="center"/>
          </w:tcPr>
          <w:p>
            <w:pPr>
              <w:spacing w:after="40"/>
            </w:pPr>
            <w:r>
              <w:rPr>
                <w:rFonts w:ascii="Aptos" w:hAnsi="Aptos"/>
                <w:sz w:val="19"/>
              </w:rPr>
              <w:t>[___ % des Kaufpreises / of purchase price] oder / or [________ EUR/USD je Einheit / per unit]</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Berechnungsbasis / Calculation base</w:t>
            </w:r>
          </w:p>
        </w:tc>
        <w:tc>
          <w:tcPr>
            <w:tcW w:type="dxa" w:w="6048"/>
            <w:shd w:fill="FFF2CC"/>
            <w:tcMar>
              <w:top w:w="90" w:type="dxa"/>
              <w:start w:w="110" w:type="dxa"/>
              <w:bottom w:w="90" w:type="dxa"/>
              <w:end w:w="110" w:type="dxa"/>
            </w:tcMar>
            <w:vAlign w:val="center"/>
          </w:tcPr>
          <w:p>
            <w:pPr>
              <w:spacing w:after="40"/>
            </w:pPr>
            <w:r>
              <w:rPr>
                <w:rFonts w:ascii="Aptos" w:hAnsi="Aptos"/>
                <w:sz w:val="19"/>
              </w:rPr>
              <w:t>[Netto / Brutto / Net / Gross]</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Leadschutz / Lead protection</w:t>
            </w:r>
          </w:p>
        </w:tc>
        <w:tc>
          <w:tcPr>
            <w:tcW w:type="dxa" w:w="6048"/>
            <w:shd w:fill="FFF2CC"/>
            <w:tcMar>
              <w:top w:w="90" w:type="dxa"/>
              <w:start w:w="110" w:type="dxa"/>
              <w:bottom w:w="90" w:type="dxa"/>
              <w:end w:w="110" w:type="dxa"/>
            </w:tcMar>
            <w:vAlign w:val="center"/>
          </w:tcPr>
          <w:p>
            <w:pPr>
              <w:spacing w:after="40"/>
            </w:pPr>
            <w:r>
              <w:rPr>
                <w:rFonts w:ascii="Aptos" w:hAnsi="Aptos"/>
                <w:sz w:val="19"/>
              </w:rPr>
              <w:t>[___ Monate / months]; Verlängerung bei laufender Verhandlung / extension during active negotiations</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Zahlungsfrist / Payment term</w:t>
            </w:r>
          </w:p>
        </w:tc>
        <w:tc>
          <w:tcPr>
            <w:tcW w:type="dxa" w:w="6048"/>
            <w:shd w:fill="FFF2CC"/>
            <w:tcMar>
              <w:top w:w="90" w:type="dxa"/>
              <w:start w:w="110" w:type="dxa"/>
              <w:bottom w:w="90" w:type="dxa"/>
              <w:end w:w="110" w:type="dxa"/>
            </w:tcMar>
            <w:vAlign w:val="center"/>
          </w:tcPr>
          <w:p>
            <w:pPr>
              <w:spacing w:after="40"/>
            </w:pPr>
            <w:r>
              <w:rPr>
                <w:rFonts w:ascii="Aptos" w:hAnsi="Aptos"/>
                <w:sz w:val="19"/>
              </w:rPr>
              <w:t>[___ Geschäftstage nach Fälligkeit / business days after due date]</w:t>
            </w:r>
          </w:p>
        </w:tc>
      </w:tr>
      <w:tr>
        <w:trPr>
          <w:cantSplit w:val="true"/>
        </w:trPr>
        <w:tc>
          <w:tcPr>
            <w:tcW w:type="dxa" w:w="3600"/>
            <w:shd w:fill="F7F7F7"/>
            <w:tcMar>
              <w:top w:w="90" w:type="dxa"/>
              <w:start w:w="110" w:type="dxa"/>
              <w:bottom w:w="90" w:type="dxa"/>
              <w:end w:w="110" w:type="dxa"/>
            </w:tcMar>
            <w:vAlign w:val="center"/>
          </w:tcPr>
          <w:p>
            <w:pPr>
              <w:spacing w:after="40"/>
            </w:pPr>
            <w:r>
              <w:rPr>
                <w:rFonts w:ascii="Aptos" w:hAnsi="Aptos"/>
                <w:sz w:val="19"/>
              </w:rPr>
              <w:t>Freigegebene Kanäle / Approved channels</w:t>
            </w:r>
          </w:p>
        </w:tc>
        <w:tc>
          <w:tcPr>
            <w:tcW w:type="dxa" w:w="6048"/>
            <w:shd w:fill="F7F7F7"/>
            <w:tcMar>
              <w:top w:w="90" w:type="dxa"/>
              <w:start w:w="110" w:type="dxa"/>
              <w:bottom w:w="90" w:type="dxa"/>
              <w:end w:w="110" w:type="dxa"/>
            </w:tcMar>
            <w:vAlign w:val="center"/>
          </w:tcPr>
          <w:p>
            <w:pPr>
              <w:spacing w:after="40"/>
            </w:pPr>
            <w:r>
              <w:rPr>
                <w:rFonts w:ascii="Aptos" w:hAnsi="Aptos"/>
                <w:sz w:val="19"/>
              </w:rPr>
              <w:t>BEP-Webseite, Immobilienportale, Social Media, E-Mail, Präsentationen, Print / BEP website, property portals, social media, email, presentations, print</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Freigegebener Unterpartner / Approved sub-partner</w:t>
            </w:r>
          </w:p>
        </w:tc>
        <w:tc>
          <w:tcPr>
            <w:tcW w:type="dxa" w:w="6048"/>
            <w:tcMar>
              <w:top w:w="90" w:type="dxa"/>
              <w:start w:w="110" w:type="dxa"/>
              <w:bottom w:w="90" w:type="dxa"/>
              <w:end w:w="110" w:type="dxa"/>
            </w:tcMar>
            <w:vAlign w:val="center"/>
          </w:tcPr>
          <w:p>
            <w:pPr>
              <w:spacing w:after="40"/>
            </w:pPr>
            <w:r>
              <w:rPr>
                <w:rFonts w:ascii="Aptos" w:hAnsi="Aptos"/>
                <w:sz w:val="19"/>
              </w:rPr>
              <w:t>Deine Stadt GmbH, Düren, Germany</w:t>
            </w:r>
          </w:p>
        </w:tc>
      </w:tr>
      <w:tr>
        <w:trPr>
          <w:cantSplit w:val="true"/>
        </w:trPr>
        <w:tc>
          <w:tcPr>
            <w:tcW w:type="dxa" w:w="3600"/>
            <w:shd w:fill="F7F7F7"/>
            <w:tcMar>
              <w:top w:w="90" w:type="dxa"/>
              <w:start w:w="110" w:type="dxa"/>
              <w:bottom w:w="90" w:type="dxa"/>
              <w:end w:w="110" w:type="dxa"/>
            </w:tcMar>
            <w:vAlign w:val="center"/>
          </w:tcPr>
          <w:p>
            <w:pPr>
              <w:spacing w:after="40"/>
            </w:pPr>
            <w:r>
              <w:rPr>
                <w:rFonts w:ascii="Aptos" w:hAnsi="Aptos"/>
                <w:sz w:val="19"/>
              </w:rPr>
              <w:t>Preis und Bestandsupdate / Price and inventory update</w:t>
            </w:r>
          </w:p>
        </w:tc>
        <w:tc>
          <w:tcPr>
            <w:tcW w:type="dxa" w:w="6048"/>
            <w:shd w:fill="F7F7F7"/>
            <w:tcMar>
              <w:top w:w="90" w:type="dxa"/>
              <w:start w:w="110" w:type="dxa"/>
              <w:bottom w:w="90" w:type="dxa"/>
              <w:end w:w="110" w:type="dxa"/>
            </w:tcMar>
            <w:vAlign w:val="center"/>
          </w:tcPr>
          <w:p>
            <w:pPr>
              <w:spacing w:after="40"/>
            </w:pPr>
            <w:r>
              <w:rPr>
                <w:rFonts w:ascii="Aptos" w:hAnsi="Aptos"/>
                <w:sz w:val="19"/>
              </w:rPr>
              <w:t>Innerhalb 2 Geschäftstagen / within 2 business days</w:t>
            </w:r>
          </w:p>
        </w:tc>
      </w:tr>
      <w:tr>
        <w:trPr>
          <w:cantSplit w:val="true"/>
        </w:trPr>
        <w:tc>
          <w:tcPr>
            <w:tcW w:type="dxa" w:w="3600"/>
            <w:tcMar>
              <w:top w:w="90" w:type="dxa"/>
              <w:start w:w="110" w:type="dxa"/>
              <w:bottom w:w="90" w:type="dxa"/>
              <w:end w:w="110" w:type="dxa"/>
            </w:tcMar>
            <w:vAlign w:val="center"/>
          </w:tcPr>
          <w:p>
            <w:pPr>
              <w:spacing w:after="40"/>
            </w:pPr>
            <w:r>
              <w:rPr>
                <w:rFonts w:ascii="Aptos" w:hAnsi="Aptos"/>
                <w:sz w:val="19"/>
              </w:rPr>
              <w:t>Besondere Bedingungen / Special conditions</w:t>
            </w:r>
          </w:p>
        </w:tc>
        <w:tc>
          <w:tcPr>
            <w:tcW w:type="dxa" w:w="6048"/>
            <w:shd w:fill="FFF2CC"/>
            <w:tcMar>
              <w:top w:w="90" w:type="dxa"/>
              <w:start w:w="110" w:type="dxa"/>
              <w:bottom w:w="90" w:type="dxa"/>
              <w:end w:w="110" w:type="dxa"/>
            </w:tcMar>
            <w:vAlign w:val="center"/>
          </w:tcPr>
          <w:p>
            <w:pPr>
              <w:spacing w:after="40"/>
            </w:pPr>
            <w:r>
              <w:rPr>
                <w:rFonts w:ascii="Aptos" w:hAnsi="Aptos"/>
                <w:sz w:val="19"/>
              </w:rPr>
              <w:t>[TO BE COMPLETED]</w:t>
            </w:r>
          </w:p>
        </w:tc>
      </w:tr>
    </w:tbl>
    <w:p>
      <w:pPr>
        <w:pStyle w:val="Heading1"/>
      </w:pPr>
      <w:r>
        <w:t>Unterschriften</w:t>
      </w:r>
    </w:p>
    <w:p>
      <w:pPr>
        <w:pStyle w:val="Heading2"/>
      </w:pPr>
      <w:r>
        <w:t>Signatures</w:t>
      </w:r>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824"/>
        <w:gridCol w:w="4824"/>
      </w:tblGrid>
      <w:tr>
        <w:tc>
          <w:tcPr>
            <w:tcW w:type="dxa" w:w="4997"/>
            <w:tcMar>
              <w:top w:w="100" w:type="dxa"/>
              <w:start w:w="120" w:type="dxa"/>
              <w:bottom w:w="100" w:type="dxa"/>
              <w:end w:w="120" w:type="dxa"/>
            </w:tcMar>
          </w:tcPr>
          <w:p>
            <w:pPr>
              <w:spacing w:after="40"/>
            </w:pPr>
            <w:r>
              <w:rPr>
                <w:rFonts w:ascii="Aptos" w:hAnsi="Aptos"/>
                <w:sz w:val="19"/>
              </w:rPr>
              <w:t>BEYOND EUROPE PROPERTY LLC</w:t>
            </w:r>
          </w:p>
        </w:tc>
        <w:tc>
          <w:tcPr>
            <w:tcW w:type="dxa" w:w="4997"/>
            <w:tcMar>
              <w:top w:w="100" w:type="dxa"/>
              <w:start w:w="120" w:type="dxa"/>
              <w:bottom w:w="100" w:type="dxa"/>
              <w:end w:w="120" w:type="dxa"/>
            </w:tcMar>
          </w:tcPr>
          <w:p>
            <w:pPr>
              <w:spacing w:after="40"/>
            </w:pPr>
            <w:r>
              <w:rPr>
                <w:rFonts w:ascii="Aptos" w:hAnsi="Aptos"/>
                <w:sz w:val="19"/>
              </w:rPr>
              <w:t>[PARTNER COMPANY]</w:t>
            </w:r>
          </w:p>
        </w:tc>
      </w:tr>
      <w:tr>
        <w:tc>
          <w:tcPr>
            <w:tcW w:type="dxa" w:w="4997"/>
            <w:tcMar>
              <w:top w:w="100" w:type="dxa"/>
              <w:start w:w="120" w:type="dxa"/>
              <w:bottom w:w="100" w:type="dxa"/>
              <w:end w:w="120" w:type="dxa"/>
            </w:tcMar>
          </w:tcPr>
          <w:p>
            <w:pPr>
              <w:spacing w:after="40"/>
            </w:pPr>
            <w:r>
              <w:rPr>
                <w:rFonts w:ascii="Aptos" w:hAnsi="Aptos"/>
                <w:sz w:val="19"/>
              </w:rPr>
              <w:br/>
              <w:br/>
              <w:t>__________________________________</w:t>
              <w:br/>
              <w:t>Torsten Schmitz</w:t>
            </w:r>
          </w:p>
        </w:tc>
        <w:tc>
          <w:tcPr>
            <w:tcW w:type="dxa" w:w="4997"/>
            <w:tcMar>
              <w:top w:w="100" w:type="dxa"/>
              <w:start w:w="120" w:type="dxa"/>
              <w:bottom w:w="100" w:type="dxa"/>
              <w:end w:w="120" w:type="dxa"/>
            </w:tcMar>
          </w:tcPr>
          <w:p>
            <w:pPr>
              <w:spacing w:after="40"/>
            </w:pPr>
            <w:r>
              <w:rPr>
                <w:rFonts w:ascii="Aptos" w:hAnsi="Aptos"/>
                <w:sz w:val="19"/>
              </w:rPr>
              <w:br/>
              <w:br/>
              <w:t>__________________________________</w:t>
              <w:br/>
              <w:t>Name / title: [TO BE COMPLETED]</w:t>
            </w:r>
          </w:p>
        </w:tc>
      </w:tr>
      <w:tr>
        <w:tc>
          <w:tcPr>
            <w:tcW w:type="dxa" w:w="4997"/>
            <w:tcMar>
              <w:top w:w="100" w:type="dxa"/>
              <w:start w:w="120" w:type="dxa"/>
              <w:bottom w:w="100" w:type="dxa"/>
              <w:end w:w="120" w:type="dxa"/>
            </w:tcMar>
          </w:tcPr>
          <w:p>
            <w:pPr>
              <w:spacing w:after="40"/>
            </w:pPr>
            <w:r>
              <w:rPr>
                <w:rFonts w:ascii="Aptos" w:hAnsi="Aptos"/>
                <w:sz w:val="19"/>
              </w:rPr>
              <w:t>Ort / Place: ______________________</w:t>
            </w:r>
          </w:p>
        </w:tc>
        <w:tc>
          <w:tcPr>
            <w:tcW w:type="dxa" w:w="4997"/>
            <w:tcMar>
              <w:top w:w="100" w:type="dxa"/>
              <w:start w:w="120" w:type="dxa"/>
              <w:bottom w:w="100" w:type="dxa"/>
              <w:end w:w="120" w:type="dxa"/>
            </w:tcMar>
          </w:tcPr>
          <w:p>
            <w:pPr>
              <w:spacing w:after="40"/>
            </w:pPr>
            <w:r>
              <w:rPr>
                <w:rFonts w:ascii="Aptos" w:hAnsi="Aptos"/>
                <w:sz w:val="19"/>
              </w:rPr>
              <w:t>Ort / Place: ______________________</w:t>
            </w:r>
          </w:p>
        </w:tc>
      </w:tr>
      <w:tr>
        <w:tc>
          <w:tcPr>
            <w:tcW w:type="dxa" w:w="4997"/>
            <w:tcMar>
              <w:top w:w="100" w:type="dxa"/>
              <w:start w:w="120" w:type="dxa"/>
              <w:bottom w:w="100" w:type="dxa"/>
              <w:end w:w="120" w:type="dxa"/>
            </w:tcMar>
          </w:tcPr>
          <w:p>
            <w:pPr>
              <w:spacing w:after="40"/>
            </w:pPr>
            <w:r>
              <w:rPr>
                <w:rFonts w:ascii="Aptos" w:hAnsi="Aptos"/>
                <w:sz w:val="19"/>
              </w:rPr>
              <w:t>Datum / Date: ____________________</w:t>
            </w:r>
          </w:p>
        </w:tc>
        <w:tc>
          <w:tcPr>
            <w:tcW w:type="dxa" w:w="4997"/>
            <w:tcMar>
              <w:top w:w="100" w:type="dxa"/>
              <w:start w:w="120" w:type="dxa"/>
              <w:bottom w:w="100" w:type="dxa"/>
              <w:end w:w="120" w:type="dxa"/>
            </w:tcMar>
          </w:tcPr>
          <w:p>
            <w:pPr>
              <w:spacing w:after="40"/>
            </w:pPr>
            <w:r>
              <w:rPr>
                <w:rFonts w:ascii="Aptos" w:hAnsi="Aptos"/>
                <w:sz w:val="19"/>
              </w:rPr>
              <w:t>Datum / Date: ____________________</w:t>
            </w:r>
          </w:p>
        </w:tc>
      </w:tr>
    </w:tbl>
    <w:p>
      <w:pPr>
        <w:spacing w:before="280"/>
      </w:pPr>
      <w:r>
        <w:rPr>
          <w:b/>
        </w:rPr>
        <w:t xml:space="preserve">Prüfhinweis / Review note: </w:t>
      </w:r>
      <w:r>
        <w:t>Dieser Entwurf ersetzt keine anwaltliche Beratung. Vor Unterzeichnung sind insbesondere Gesellschaftsdaten, Vertretungsmacht, Provision, Steuerbehandlung, anwendbares Recht und Gerichtsstand zu bestätigen. / This draft does not replace legal advice. Before signature, the Parties should confirm in particular corporate details, signatory authority, commission, tax treatment, governing law and jurisdiction.</w:t>
      </w:r>
    </w:p>
    <w:sectPr w:rsidR="00FC693F" w:rsidRPr="0006063C" w:rsidSect="00034616">
      <w:pgSz w:w="12240" w:h="15840"/>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ascii="Aptos" w:hAnsi="Apto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BEP Blanko Kooperationsvereinbarung Deutsch Englisch</dc:title>
  <dc:subject>Bilinguale Blankovorlage für internationale Immobilien und Projektpartner</dc:subject>
  <dc:creator>Beyond Europe Property LLC</dc:creator>
  <cp:keywords>BEP, cooperation agreement, sales agreement, DACH, blank template</cp:keywords>
  <dc:description>generated by python-docx</dc:description>
  <cp:lastModifiedBy/>
  <cp:revision>1</cp:revision>
  <dcterms:created xsi:type="dcterms:W3CDTF">2013-12-23T23:15:00Z</dcterms:created>
  <dcterms:modified xsi:type="dcterms:W3CDTF">2013-12-23T23:15:00Z</dcterms:modified>
  <cp:category/>
</cp:coreProperties>
</file>